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8" w:type="dxa"/>
        <w:tblCellMar>
          <w:top w:w="15" w:type="dxa"/>
          <w:left w:w="15" w:type="dxa"/>
          <w:bottom w:w="15" w:type="dxa"/>
          <w:right w:w="15" w:type="dxa"/>
        </w:tblCellMar>
        <w:tblLook w:val="04A0" w:firstRow="1" w:lastRow="0" w:firstColumn="1" w:lastColumn="0" w:noHBand="0" w:noVBand="1"/>
      </w:tblPr>
      <w:tblGrid>
        <w:gridCol w:w="8997"/>
        <w:gridCol w:w="36"/>
      </w:tblGrid>
      <w:tr w:rsidR="00DE4A3F" w:rsidRPr="00DE4A3F" w:rsidTr="00DE4A3F">
        <w:tc>
          <w:tcPr>
            <w:tcW w:w="8997" w:type="dxa"/>
            <w:hideMark/>
          </w:tcPr>
          <w:p w:rsidR="00DE4A3F" w:rsidRPr="00DE4A3F" w:rsidRDefault="00DE4A3F" w:rsidP="00DE4A3F">
            <w:pPr>
              <w:spacing w:after="0" w:line="312" w:lineRule="auto"/>
              <w:rPr>
                <w:rFonts w:ascii="Times New Roman" w:eastAsia="Times New Roman" w:hAnsi="Times New Roman" w:cs="Times New Roman"/>
                <w:sz w:val="23"/>
                <w:szCs w:val="23"/>
              </w:rPr>
            </w:pPr>
            <w:bookmarkStart w:id="0" w:name="s2RwgHJY8W1J"/>
            <w:bookmarkStart w:id="1" w:name="_GoBack"/>
            <w:bookmarkEnd w:id="0"/>
            <w:bookmarkEnd w:id="1"/>
          </w:p>
          <w:p w:rsidR="00DE4A3F" w:rsidRPr="00DE4A3F" w:rsidRDefault="00DE4A3F" w:rsidP="00DE4A3F">
            <w:pPr>
              <w:spacing w:before="100" w:beforeAutospacing="1" w:after="100" w:afterAutospacing="1" w:line="312" w:lineRule="auto"/>
              <w:jc w:val="center"/>
              <w:outlineLvl w:val="1"/>
              <w:rPr>
                <w:rFonts w:ascii="Times New Roman" w:eastAsia="Times New Roman" w:hAnsi="Times New Roman" w:cs="Times New Roman"/>
                <w:b/>
                <w:bCs/>
                <w:color w:val="333333"/>
                <w:sz w:val="36"/>
                <w:szCs w:val="36"/>
              </w:rPr>
            </w:pPr>
            <w:r w:rsidRPr="00DE4A3F">
              <w:rPr>
                <w:rFonts w:ascii="Times New Roman" w:eastAsia="Times New Roman" w:hAnsi="Times New Roman" w:cs="Times New Roman"/>
                <w:b/>
                <w:bCs/>
                <w:color w:val="333333"/>
                <w:sz w:val="36"/>
                <w:szCs w:val="36"/>
              </w:rPr>
              <w:t>Глава 1. ОБЩИЕ ПОЛОЖЕНИЯ</w:t>
            </w:r>
          </w:p>
          <w:p w:rsidR="00DE4A3F" w:rsidRPr="00DE4A3F" w:rsidRDefault="00DE4A3F" w:rsidP="00DE4A3F">
            <w:pPr>
              <w:spacing w:after="0" w:line="240" w:lineRule="auto"/>
              <w:rPr>
                <w:rFonts w:ascii="Times New Roman" w:eastAsia="Times New Roman" w:hAnsi="Times New Roman" w:cs="Times New Roman"/>
                <w:b/>
                <w:bCs/>
                <w:sz w:val="23"/>
                <w:szCs w:val="23"/>
              </w:rPr>
            </w:pPr>
            <w:bookmarkStart w:id="2" w:name="XglwkekqOs10"/>
            <w:bookmarkEnd w:id="2"/>
            <w:r w:rsidRPr="00DE4A3F">
              <w:rPr>
                <w:rFonts w:ascii="Times New Roman" w:eastAsia="Times New Roman" w:hAnsi="Times New Roman" w:cs="Times New Roman"/>
                <w:b/>
                <w:bCs/>
                <w:sz w:val="23"/>
                <w:szCs w:val="23"/>
              </w:rPr>
              <w:t>Статья 1. Предмет регулирования настоящего Федерального закона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3" w:name="4ywWxJjZDIoK"/>
            <w:bookmarkEnd w:id="3"/>
            <w:r w:rsidRPr="00DE4A3F">
              <w:rPr>
                <w:rFonts w:ascii="Times New Roman" w:eastAsia="Times New Roman" w:hAnsi="Times New Roman" w:cs="Times New Roman"/>
                <w:b/>
                <w:bCs/>
                <w:sz w:val="23"/>
                <w:szCs w:val="23"/>
              </w:rPr>
              <w:t>Статья 2. Основные понятия, используемые в настоящем Федеральном законе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Для целей настоящего Федерального закона применяются следующие основные понятия: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4) уровень образования - завершенный цикл образования, характеризующийся </w:t>
            </w:r>
            <w:r w:rsidRPr="00DE4A3F">
              <w:rPr>
                <w:rFonts w:ascii="Times New Roman" w:eastAsia="Times New Roman" w:hAnsi="Times New Roman" w:cs="Times New Roman"/>
                <w:sz w:val="23"/>
                <w:szCs w:val="23"/>
              </w:rPr>
              <w:lastRenderedPageBreak/>
              <w:t>определенной единой совокупностью требований;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15) обучающийся - физическое лицо, осваивающее образовательную программу;</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17) образовательная деятельность - деятельность по реализации образовательных программ;</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21) педагогический работник - физическое лицо, которое состоит в трудовых, служебных </w:t>
            </w:r>
            <w:r w:rsidRPr="00DE4A3F">
              <w:rPr>
                <w:rFonts w:ascii="Times New Roman" w:eastAsia="Times New Roman" w:hAnsi="Times New Roman" w:cs="Times New Roman"/>
                <w:sz w:val="23"/>
                <w:szCs w:val="23"/>
              </w:rPr>
              <w:lastRenderedPageBreak/>
              <w:t>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w:t>
            </w:r>
            <w:r w:rsidRPr="00DE4A3F">
              <w:rPr>
                <w:rFonts w:ascii="Times New Roman" w:eastAsia="Times New Roman" w:hAnsi="Times New Roman" w:cs="Times New Roman"/>
                <w:sz w:val="23"/>
                <w:szCs w:val="23"/>
              </w:rPr>
              <w:lastRenderedPageBreak/>
              <w:t>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4" w:name="nlsxczKGLJUL"/>
            <w:bookmarkEnd w:id="4"/>
            <w:r w:rsidRPr="00DE4A3F">
              <w:rPr>
                <w:rFonts w:ascii="Times New Roman" w:eastAsia="Times New Roman" w:hAnsi="Times New Roman" w:cs="Times New Roman"/>
                <w:b/>
                <w:bCs/>
                <w:sz w:val="23"/>
                <w:szCs w:val="23"/>
              </w:rPr>
              <w:t>Статья 3. Основные принципы государственной политики и правового регулирования отношений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Государственная политика и правовое регулирование отношений в сфере образования основываются на следующих принципах:</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признание приоритетности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обеспечение права каждого человека на образование, недопустимость дискриминации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w:t>
            </w:r>
            <w:r w:rsidRPr="00DE4A3F">
              <w:rPr>
                <w:rFonts w:ascii="Times New Roman" w:eastAsia="Times New Roman" w:hAnsi="Times New Roman" w:cs="Times New Roman"/>
                <w:sz w:val="23"/>
                <w:szCs w:val="23"/>
              </w:rPr>
              <w:lastRenderedPageBreak/>
              <w:t>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светский характер образования в государственных, муниципальных организациях, осуществляющих образовательную деятельность;</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11) недопустимость ограничения или устранения конкуренции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12) сочетание государственного и договорного регулирования отношений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w:t>
            </w:r>
            <w:r w:rsidRPr="00DE4A3F">
              <w:rPr>
                <w:rFonts w:ascii="Times New Roman" w:eastAsia="Times New Roman" w:hAnsi="Times New Roman" w:cs="Times New Roman"/>
                <w:sz w:val="23"/>
                <w:szCs w:val="23"/>
              </w:rPr>
              <w:lastRenderedPageBreak/>
              <w:t>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5" w:name="mTe9Y6H78M5T"/>
            <w:bookmarkEnd w:id="5"/>
            <w:r w:rsidRPr="00DE4A3F">
              <w:rPr>
                <w:rFonts w:ascii="Times New Roman" w:eastAsia="Times New Roman" w:hAnsi="Times New Roman" w:cs="Times New Roman"/>
                <w:b/>
                <w:bCs/>
                <w:sz w:val="23"/>
                <w:szCs w:val="23"/>
              </w:rPr>
              <w:t>Статья 4. Правовое регулирование отношений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Основными задачами правового регулирования отношений в сфере образования являются: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обеспечение и защита конституционного права граждан Российской Федерации на образование;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создание правовых гарантий для согласования интересов участников отношений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определение правового положения участников отношений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создание условий для получения образования в Российской Федерации иностранными гражданами и лицами без гражданства;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w:t>
            </w:r>
            <w:r w:rsidRPr="00DE4A3F">
              <w:rPr>
                <w:rFonts w:ascii="Times New Roman" w:eastAsia="Times New Roman" w:hAnsi="Times New Roman" w:cs="Times New Roman"/>
                <w:sz w:val="23"/>
                <w:szCs w:val="23"/>
              </w:rPr>
              <w:lastRenderedPageBreak/>
              <w:t>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6" w:name="5gMyt7x1EKmR"/>
            <w:bookmarkEnd w:id="6"/>
            <w:r w:rsidRPr="00DE4A3F">
              <w:rPr>
                <w:rFonts w:ascii="Times New Roman" w:eastAsia="Times New Roman" w:hAnsi="Times New Roman" w:cs="Times New Roman"/>
                <w:b/>
                <w:bCs/>
                <w:sz w:val="23"/>
                <w:szCs w:val="23"/>
              </w:rPr>
              <w:t>Статья 5. Право на образование. Государственные гарантии реализации права на образование 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В Российской Федерации гарантируется право каждого человека на образование.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w:t>
            </w:r>
            <w:r w:rsidRPr="00DE4A3F">
              <w:rPr>
                <w:rFonts w:ascii="Times New Roman" w:eastAsia="Times New Roman" w:hAnsi="Times New Roman" w:cs="Times New Roman"/>
                <w:sz w:val="23"/>
                <w:szCs w:val="23"/>
              </w:rPr>
              <w:lastRenderedPageBreak/>
              <w:t>принадлежности к общественным объединениям, а также других обстоятельств.</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7" w:name="2iOuYNa5Qqof"/>
            <w:bookmarkEnd w:id="7"/>
            <w:r w:rsidRPr="00DE4A3F">
              <w:rPr>
                <w:rFonts w:ascii="Times New Roman" w:eastAsia="Times New Roman" w:hAnsi="Times New Roman" w:cs="Times New Roman"/>
                <w:b/>
                <w:bCs/>
                <w:sz w:val="23"/>
                <w:szCs w:val="23"/>
              </w:rPr>
              <w:t>Статья 6. Полномочия федеральных органов государственной власти в сфере образования</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lastRenderedPageBreak/>
              <w:t>1. К полномочиям федеральных органов государственной власти в сфере образования относятся: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разработка и проведение единой государственной политики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утверждение федеральных государственных образовательных стандартов, установление федеральных государственных требований;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7) лицензирование образовательной деятельности: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а) организаций, осуществляющих образовательную деятельность по образовательным программам высшего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г) иностранных образовательных организаций, осуществляющих образовательную </w:t>
            </w:r>
            <w:r w:rsidRPr="00DE4A3F">
              <w:rPr>
                <w:rFonts w:ascii="Times New Roman" w:eastAsia="Times New Roman" w:hAnsi="Times New Roman" w:cs="Times New Roman"/>
                <w:sz w:val="23"/>
                <w:szCs w:val="23"/>
              </w:rPr>
              <w:lastRenderedPageBreak/>
              <w:t>деятельность по месту нахождения филиала на территории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11) установление и присвоение государственных наград, почетных званий, ведомственных наград и званий работникам системы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12) разработка прогнозов подготовки кадров, требований к подготовке кадров на основе прогноза потребностей рынка труда;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13) обеспечение осуществления мониторинга в системе образования на федеральном уровне;</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14) осуществление иных полномочий в сфере образования, установленных в соответствии с настоящим Федеральным законом.</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8" w:name="L8PbPUEp5VZT"/>
            <w:bookmarkEnd w:id="8"/>
            <w:r w:rsidRPr="00DE4A3F">
              <w:rPr>
                <w:rFonts w:ascii="Times New Roman" w:eastAsia="Times New Roman" w:hAnsi="Times New Roman" w:cs="Times New Roman"/>
                <w:b/>
                <w:bCs/>
                <w:sz w:val="23"/>
                <w:szCs w:val="23"/>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подтверждение документов об образовании и (или) о квалификации.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rsidRPr="00DE4A3F">
              <w:rPr>
                <w:rFonts w:ascii="Times New Roman" w:eastAsia="Times New Roman" w:hAnsi="Times New Roman" w:cs="Times New Roman"/>
                <w:sz w:val="23"/>
                <w:szCs w:val="23"/>
              </w:rPr>
              <w:lastRenderedPageBreak/>
              <w:t>аккредитации образовательной деятельности переданы органам государственной власти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Средства на осуществление переданных полномочий носят целевой характер и не могут быть использованы на другие цели.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7. Федеральный орган исполнительной власти, осуществляющий функции по контролю и надзору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анализирует причины выявленных нарушений при осуществлении переданных полномочий, принимает меры по устранению выявленных нарушений;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организует деятельность по осуществлению переданных полномочий в соответствии с законодательством об образовании;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а) ежеквартального отчета о расходовании предоставленных субвенций, о достижении целевых прогнозных показателей;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9" w:name="GX9n4INIgLR"/>
            <w:bookmarkEnd w:id="9"/>
            <w:r w:rsidRPr="00DE4A3F">
              <w:rPr>
                <w:rFonts w:ascii="Times New Roman" w:eastAsia="Times New Roman" w:hAnsi="Times New Roman" w:cs="Times New Roman"/>
                <w:b/>
                <w:bCs/>
                <w:sz w:val="23"/>
                <w:szCs w:val="23"/>
              </w:rPr>
              <w:t>Статья 8. Полномочия органов государственной власти субъектов Российской Федерации в сфере образования</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К полномочиям органов государственной власти субъектов Российской Федерации в сфере образования относятся: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организация предоставления общего образования в государственных образовательных организациях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w:t>
            </w:r>
            <w:r w:rsidRPr="00DE4A3F">
              <w:rPr>
                <w:rFonts w:ascii="Times New Roman" w:eastAsia="Times New Roman" w:hAnsi="Times New Roman" w:cs="Times New Roman"/>
                <w:sz w:val="23"/>
                <w:szCs w:val="23"/>
              </w:rPr>
              <w:lastRenderedPageBreak/>
              <w:t>бесплатного среднего профессионального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11) обеспечение осуществления мониторинга в системе образования на уровне субъектов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13) осуществление иных установленных настоящим Федеральным законом полномочий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before="100" w:beforeAutospacing="1" w:after="100" w:afterAutospacing="1" w:line="312" w:lineRule="auto"/>
              <w:rPr>
                <w:rFonts w:ascii="Times New Roman" w:eastAsia="Times New Roman" w:hAnsi="Times New Roman" w:cs="Times New Roman"/>
                <w:b/>
                <w:bCs/>
                <w:sz w:val="23"/>
                <w:szCs w:val="23"/>
              </w:rPr>
            </w:pPr>
            <w:bookmarkStart w:id="10" w:name="uzqFQfUuOjQJ"/>
            <w:bookmarkEnd w:id="10"/>
            <w:r w:rsidRPr="00DE4A3F">
              <w:rPr>
                <w:rFonts w:ascii="Times New Roman" w:eastAsia="Times New Roman" w:hAnsi="Times New Roman" w:cs="Times New Roman"/>
                <w:b/>
                <w:bCs/>
                <w:sz w:val="23"/>
                <w:szCs w:val="23"/>
              </w:rPr>
              <w:lastRenderedPageBreak/>
              <w:t>Статья 9. Полномочия органов местного самоуправления муниципальных районов и городских округов в сфере образования</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создание условий для осуществления присмотра и ухода за детьми, содержания детей в муниципальных образовательных организациях;</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5) обеспечение содержания зданий и сооружений муниципальных образовательных организаций, обустройство прилегающих к ним территорий;</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7) осуществление иных установленных настоящим Федеральным законом полномочий в сфере образования.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w:t>
            </w:r>
            <w:r w:rsidRPr="00DE4A3F">
              <w:rPr>
                <w:rFonts w:ascii="Times New Roman" w:eastAsia="Times New Roman" w:hAnsi="Times New Roman" w:cs="Times New Roman"/>
                <w:sz w:val="23"/>
                <w:szCs w:val="23"/>
              </w:rPr>
              <w:lastRenderedPageBreak/>
              <w:t>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E4A3F" w:rsidRPr="00DE4A3F" w:rsidRDefault="00DE4A3F" w:rsidP="00DE4A3F">
            <w:pPr>
              <w:spacing w:before="100" w:beforeAutospacing="1" w:after="100" w:afterAutospacing="1"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after="0" w:line="312" w:lineRule="auto"/>
              <w:rPr>
                <w:rFonts w:ascii="Times New Roman" w:eastAsia="Times New Roman" w:hAnsi="Times New Roman" w:cs="Times New Roman"/>
                <w:sz w:val="23"/>
                <w:szCs w:val="23"/>
              </w:rPr>
            </w:pPr>
          </w:p>
          <w:p w:rsidR="00DE4A3F" w:rsidRPr="00DE4A3F" w:rsidRDefault="00DE4A3F" w:rsidP="00DE4A3F">
            <w:pPr>
              <w:spacing w:after="0" w:line="312" w:lineRule="auto"/>
              <w:rPr>
                <w:rFonts w:ascii="Times New Roman" w:eastAsia="Times New Roman" w:hAnsi="Times New Roman" w:cs="Times New Roman"/>
                <w:sz w:val="23"/>
                <w:szCs w:val="23"/>
              </w:rPr>
            </w:pPr>
          </w:p>
        </w:tc>
        <w:tc>
          <w:tcPr>
            <w:tcW w:w="0" w:type="auto"/>
            <w:hideMark/>
          </w:tcPr>
          <w:p w:rsidR="00DE4A3F" w:rsidRPr="00DE4A3F" w:rsidRDefault="00DE4A3F" w:rsidP="00DE4A3F">
            <w:pPr>
              <w:spacing w:after="0" w:line="312" w:lineRule="auto"/>
              <w:rPr>
                <w:rFonts w:ascii="Times New Roman" w:eastAsia="Times New Roman" w:hAnsi="Times New Roman" w:cs="Times New Roman"/>
                <w:sz w:val="23"/>
                <w:szCs w:val="23"/>
              </w:rPr>
            </w:pPr>
          </w:p>
        </w:tc>
      </w:tr>
    </w:tbl>
    <w:p w:rsidR="00DE4A3F" w:rsidRPr="00DE4A3F" w:rsidRDefault="00DE4A3F" w:rsidP="00DE4A3F">
      <w:pPr>
        <w:spacing w:after="0" w:line="0" w:lineRule="auto"/>
        <w:rPr>
          <w:rFonts w:ascii="Times New Roman" w:eastAsia="Times New Roman" w:hAnsi="Times New Roman" w:cs="Times New Roman"/>
          <w:sz w:val="2"/>
          <w:szCs w:val="2"/>
        </w:rPr>
      </w:pPr>
      <w:r w:rsidRPr="00DE4A3F">
        <w:rPr>
          <w:rFonts w:ascii="Times New Roman" w:eastAsia="Times New Roman" w:hAnsi="Times New Roman" w:cs="Times New Roman"/>
          <w:sz w:val="2"/>
          <w:szCs w:val="2"/>
        </w:rPr>
        <w:lastRenderedPageBreak/>
        <w:t> </w:t>
      </w:r>
    </w:p>
    <w:p w:rsidR="00DE4A3F" w:rsidRPr="00DE4A3F" w:rsidRDefault="00DE4A3F" w:rsidP="00DE4A3F">
      <w:pPr>
        <w:spacing w:after="0" w:line="312" w:lineRule="auto"/>
        <w:rPr>
          <w:rFonts w:ascii="Times New Roman" w:eastAsia="Times New Roman" w:hAnsi="Times New Roman" w:cs="Times New Roman"/>
          <w:sz w:val="23"/>
          <w:szCs w:val="23"/>
        </w:rPr>
      </w:pPr>
      <w:r w:rsidRPr="00DE4A3F">
        <w:rPr>
          <w:rFonts w:ascii="Times New Roman" w:eastAsia="Times New Roman" w:hAnsi="Times New Roman" w:cs="Times New Roman"/>
          <w:sz w:val="23"/>
          <w:szCs w:val="23"/>
        </w:rPr>
        <w:br w:type="textWrapping" w:clear="all"/>
      </w:r>
    </w:p>
    <w:p w:rsidR="00DE4A3F" w:rsidRPr="00DE4A3F" w:rsidRDefault="00DE4A3F" w:rsidP="00DE4A3F">
      <w:pPr>
        <w:spacing w:after="0" w:line="0" w:lineRule="auto"/>
        <w:rPr>
          <w:rFonts w:ascii="Times New Roman" w:eastAsia="Times New Roman" w:hAnsi="Times New Roman" w:cs="Times New Roman"/>
          <w:sz w:val="2"/>
          <w:szCs w:val="2"/>
        </w:rPr>
      </w:pPr>
      <w:r w:rsidRPr="00DE4A3F">
        <w:rPr>
          <w:rFonts w:ascii="Times New Roman" w:eastAsia="Times New Roman" w:hAnsi="Times New Roman" w:cs="Times New Roman"/>
          <w:sz w:val="2"/>
          <w:szCs w:val="2"/>
        </w:rPr>
        <w:t> </w:t>
      </w:r>
    </w:p>
    <w:p w:rsidR="00B31121" w:rsidRDefault="00B31121"/>
    <w:sectPr w:rsidR="00B31121" w:rsidSect="00B31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3F"/>
    <w:rsid w:val="00583B23"/>
    <w:rsid w:val="00B31121"/>
    <w:rsid w:val="00DE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A3F"/>
    <w:pPr>
      <w:spacing w:before="100" w:beforeAutospacing="1" w:after="100" w:afterAutospacing="1" w:line="240" w:lineRule="auto"/>
      <w:outlineLvl w:val="0"/>
    </w:pPr>
    <w:rPr>
      <w:rFonts w:ascii="Times New Roman" w:eastAsia="Times New Roman" w:hAnsi="Times New Roman" w:cs="Times New Roman"/>
      <w:b/>
      <w:bCs/>
      <w:color w:val="333333"/>
      <w:kern w:val="36"/>
      <w:sz w:val="27"/>
      <w:szCs w:val="27"/>
    </w:rPr>
  </w:style>
  <w:style w:type="paragraph" w:styleId="2">
    <w:name w:val="heading 2"/>
    <w:basedOn w:val="a"/>
    <w:link w:val="20"/>
    <w:uiPriority w:val="9"/>
    <w:qFormat/>
    <w:rsid w:val="00DE4A3F"/>
    <w:pPr>
      <w:spacing w:before="100" w:beforeAutospacing="1" w:after="100" w:afterAutospacing="1" w:line="240" w:lineRule="auto"/>
      <w:jc w:val="center"/>
      <w:outlineLvl w:val="1"/>
    </w:pPr>
    <w:rPr>
      <w:rFonts w:ascii="Times New Roman" w:eastAsia="Times New Roman" w:hAnsi="Times New Roman" w:cs="Times New Roman"/>
      <w:b/>
      <w:bCs/>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A3F"/>
    <w:rPr>
      <w:rFonts w:ascii="Times New Roman" w:eastAsia="Times New Roman" w:hAnsi="Times New Roman" w:cs="Times New Roman"/>
      <w:b/>
      <w:bCs/>
      <w:color w:val="333333"/>
      <w:kern w:val="36"/>
      <w:sz w:val="27"/>
      <w:szCs w:val="27"/>
      <w:lang w:eastAsia="ru-RU"/>
    </w:rPr>
  </w:style>
  <w:style w:type="character" w:customStyle="1" w:styleId="20">
    <w:name w:val="Заголовок 2 Знак"/>
    <w:basedOn w:val="a0"/>
    <w:link w:val="2"/>
    <w:uiPriority w:val="9"/>
    <w:rsid w:val="00DE4A3F"/>
    <w:rPr>
      <w:rFonts w:ascii="Times New Roman" w:eastAsia="Times New Roman" w:hAnsi="Times New Roman" w:cs="Times New Roman"/>
      <w:b/>
      <w:bCs/>
      <w:color w:val="333333"/>
      <w:sz w:val="36"/>
      <w:szCs w:val="36"/>
      <w:lang w:eastAsia="ru-RU"/>
    </w:rPr>
  </w:style>
  <w:style w:type="character" w:styleId="a3">
    <w:name w:val="Hyperlink"/>
    <w:basedOn w:val="a0"/>
    <w:uiPriority w:val="99"/>
    <w:semiHidden/>
    <w:unhideWhenUsed/>
    <w:rsid w:val="00DE4A3F"/>
    <w:rPr>
      <w:color w:val="3C5F87"/>
      <w:u w:val="single"/>
    </w:rPr>
  </w:style>
  <w:style w:type="paragraph" w:styleId="a4">
    <w:name w:val="Normal (Web)"/>
    <w:basedOn w:val="a"/>
    <w:uiPriority w:val="99"/>
    <w:semiHidden/>
    <w:unhideWhenUsed/>
    <w:rsid w:val="00DE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a"/>
    <w:rsid w:val="00DE4A3F"/>
    <w:pPr>
      <w:spacing w:before="100" w:beforeAutospacing="1" w:after="100" w:afterAutospacing="1" w:line="240" w:lineRule="auto"/>
    </w:pPr>
    <w:rPr>
      <w:rFonts w:ascii="Times New Roman" w:eastAsia="Times New Roman" w:hAnsi="Times New Roman" w:cs="Times New Roman"/>
      <w:b/>
      <w:bCs/>
      <w:sz w:val="24"/>
      <w:szCs w:val="24"/>
    </w:rPr>
  </w:style>
  <w:style w:type="character" w:styleId="a5">
    <w:name w:val="Strong"/>
    <w:basedOn w:val="a0"/>
    <w:uiPriority w:val="22"/>
    <w:qFormat/>
    <w:rsid w:val="00DE4A3F"/>
    <w:rPr>
      <w:b/>
      <w:bCs/>
    </w:rPr>
  </w:style>
  <w:style w:type="character" w:customStyle="1" w:styleId="page-prev1">
    <w:name w:val="page-prev1"/>
    <w:basedOn w:val="a0"/>
    <w:rsid w:val="00DE4A3F"/>
  </w:style>
  <w:style w:type="character" w:customStyle="1" w:styleId="page-next1">
    <w:name w:val="page-next1"/>
    <w:basedOn w:val="a0"/>
    <w:rsid w:val="00DE4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A3F"/>
    <w:pPr>
      <w:spacing w:before="100" w:beforeAutospacing="1" w:after="100" w:afterAutospacing="1" w:line="240" w:lineRule="auto"/>
      <w:outlineLvl w:val="0"/>
    </w:pPr>
    <w:rPr>
      <w:rFonts w:ascii="Times New Roman" w:eastAsia="Times New Roman" w:hAnsi="Times New Roman" w:cs="Times New Roman"/>
      <w:b/>
      <w:bCs/>
      <w:color w:val="333333"/>
      <w:kern w:val="36"/>
      <w:sz w:val="27"/>
      <w:szCs w:val="27"/>
    </w:rPr>
  </w:style>
  <w:style w:type="paragraph" w:styleId="2">
    <w:name w:val="heading 2"/>
    <w:basedOn w:val="a"/>
    <w:link w:val="20"/>
    <w:uiPriority w:val="9"/>
    <w:qFormat/>
    <w:rsid w:val="00DE4A3F"/>
    <w:pPr>
      <w:spacing w:before="100" w:beforeAutospacing="1" w:after="100" w:afterAutospacing="1" w:line="240" w:lineRule="auto"/>
      <w:jc w:val="center"/>
      <w:outlineLvl w:val="1"/>
    </w:pPr>
    <w:rPr>
      <w:rFonts w:ascii="Times New Roman" w:eastAsia="Times New Roman" w:hAnsi="Times New Roman" w:cs="Times New Roman"/>
      <w:b/>
      <w:bCs/>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A3F"/>
    <w:rPr>
      <w:rFonts w:ascii="Times New Roman" w:eastAsia="Times New Roman" w:hAnsi="Times New Roman" w:cs="Times New Roman"/>
      <w:b/>
      <w:bCs/>
      <w:color w:val="333333"/>
      <w:kern w:val="36"/>
      <w:sz w:val="27"/>
      <w:szCs w:val="27"/>
      <w:lang w:eastAsia="ru-RU"/>
    </w:rPr>
  </w:style>
  <w:style w:type="character" w:customStyle="1" w:styleId="20">
    <w:name w:val="Заголовок 2 Знак"/>
    <w:basedOn w:val="a0"/>
    <w:link w:val="2"/>
    <w:uiPriority w:val="9"/>
    <w:rsid w:val="00DE4A3F"/>
    <w:rPr>
      <w:rFonts w:ascii="Times New Roman" w:eastAsia="Times New Roman" w:hAnsi="Times New Roman" w:cs="Times New Roman"/>
      <w:b/>
      <w:bCs/>
      <w:color w:val="333333"/>
      <w:sz w:val="36"/>
      <w:szCs w:val="36"/>
      <w:lang w:eastAsia="ru-RU"/>
    </w:rPr>
  </w:style>
  <w:style w:type="character" w:styleId="a3">
    <w:name w:val="Hyperlink"/>
    <w:basedOn w:val="a0"/>
    <w:uiPriority w:val="99"/>
    <w:semiHidden/>
    <w:unhideWhenUsed/>
    <w:rsid w:val="00DE4A3F"/>
    <w:rPr>
      <w:color w:val="3C5F87"/>
      <w:u w:val="single"/>
    </w:rPr>
  </w:style>
  <w:style w:type="paragraph" w:styleId="a4">
    <w:name w:val="Normal (Web)"/>
    <w:basedOn w:val="a"/>
    <w:uiPriority w:val="99"/>
    <w:semiHidden/>
    <w:unhideWhenUsed/>
    <w:rsid w:val="00DE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a"/>
    <w:rsid w:val="00DE4A3F"/>
    <w:pPr>
      <w:spacing w:before="100" w:beforeAutospacing="1" w:after="100" w:afterAutospacing="1" w:line="240" w:lineRule="auto"/>
    </w:pPr>
    <w:rPr>
      <w:rFonts w:ascii="Times New Roman" w:eastAsia="Times New Roman" w:hAnsi="Times New Roman" w:cs="Times New Roman"/>
      <w:b/>
      <w:bCs/>
      <w:sz w:val="24"/>
      <w:szCs w:val="24"/>
    </w:rPr>
  </w:style>
  <w:style w:type="character" w:styleId="a5">
    <w:name w:val="Strong"/>
    <w:basedOn w:val="a0"/>
    <w:uiPriority w:val="22"/>
    <w:qFormat/>
    <w:rsid w:val="00DE4A3F"/>
    <w:rPr>
      <w:b/>
      <w:bCs/>
    </w:rPr>
  </w:style>
  <w:style w:type="character" w:customStyle="1" w:styleId="page-prev1">
    <w:name w:val="page-prev1"/>
    <w:basedOn w:val="a0"/>
    <w:rsid w:val="00DE4A3F"/>
  </w:style>
  <w:style w:type="character" w:customStyle="1" w:styleId="page-next1">
    <w:name w:val="page-next1"/>
    <w:basedOn w:val="a0"/>
    <w:rsid w:val="00DE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99675">
      <w:bodyDiv w:val="1"/>
      <w:marLeft w:val="0"/>
      <w:marRight w:val="0"/>
      <w:marTop w:val="0"/>
      <w:marBottom w:val="0"/>
      <w:divBdr>
        <w:top w:val="none" w:sz="0" w:space="0" w:color="auto"/>
        <w:left w:val="none" w:sz="0" w:space="0" w:color="auto"/>
        <w:bottom w:val="none" w:sz="0" w:space="0" w:color="auto"/>
        <w:right w:val="none" w:sz="0" w:space="0" w:color="auto"/>
      </w:divBdr>
      <w:divsChild>
        <w:div w:id="443771270">
          <w:marLeft w:val="0"/>
          <w:marRight w:val="0"/>
          <w:marTop w:val="0"/>
          <w:marBottom w:val="0"/>
          <w:divBdr>
            <w:top w:val="none" w:sz="0" w:space="0" w:color="auto"/>
            <w:left w:val="none" w:sz="0" w:space="0" w:color="auto"/>
            <w:bottom w:val="none" w:sz="0" w:space="0" w:color="auto"/>
            <w:right w:val="none" w:sz="0" w:space="0" w:color="auto"/>
          </w:divBdr>
          <w:divsChild>
            <w:div w:id="1528566256">
              <w:marLeft w:val="0"/>
              <w:marRight w:val="0"/>
              <w:marTop w:val="0"/>
              <w:marBottom w:val="0"/>
              <w:divBdr>
                <w:top w:val="none" w:sz="0" w:space="0" w:color="auto"/>
                <w:left w:val="none" w:sz="0" w:space="0" w:color="auto"/>
                <w:bottom w:val="none" w:sz="0" w:space="0" w:color="auto"/>
                <w:right w:val="none" w:sz="0" w:space="0" w:color="auto"/>
              </w:divBdr>
              <w:divsChild>
                <w:div w:id="573930036">
                  <w:marLeft w:val="0"/>
                  <w:marRight w:val="0"/>
                  <w:marTop w:val="0"/>
                  <w:marBottom w:val="0"/>
                  <w:divBdr>
                    <w:top w:val="none" w:sz="0" w:space="0" w:color="auto"/>
                    <w:left w:val="none" w:sz="0" w:space="0" w:color="auto"/>
                    <w:bottom w:val="none" w:sz="0" w:space="0" w:color="auto"/>
                    <w:right w:val="none" w:sz="0" w:space="0" w:color="auto"/>
                  </w:divBdr>
                  <w:divsChild>
                    <w:div w:id="862598636">
                      <w:marLeft w:val="0"/>
                      <w:marRight w:val="0"/>
                      <w:marTop w:val="0"/>
                      <w:marBottom w:val="0"/>
                      <w:divBdr>
                        <w:top w:val="none" w:sz="0" w:space="0" w:color="auto"/>
                        <w:left w:val="none" w:sz="0" w:space="0" w:color="auto"/>
                        <w:bottom w:val="none" w:sz="0" w:space="0" w:color="auto"/>
                        <w:right w:val="none" w:sz="0" w:space="0" w:color="auto"/>
                      </w:divBdr>
                    </w:div>
                    <w:div w:id="1102452049">
                      <w:marLeft w:val="0"/>
                      <w:marRight w:val="0"/>
                      <w:marTop w:val="0"/>
                      <w:marBottom w:val="0"/>
                      <w:divBdr>
                        <w:top w:val="none" w:sz="0" w:space="0" w:color="auto"/>
                        <w:left w:val="none" w:sz="0" w:space="0" w:color="auto"/>
                        <w:bottom w:val="none" w:sz="0" w:space="0" w:color="auto"/>
                        <w:right w:val="none" w:sz="0" w:space="0" w:color="auto"/>
                      </w:divBdr>
                    </w:div>
                    <w:div w:id="1538660309">
                      <w:marLeft w:val="0"/>
                      <w:marRight w:val="0"/>
                      <w:marTop w:val="0"/>
                      <w:marBottom w:val="0"/>
                      <w:divBdr>
                        <w:top w:val="none" w:sz="0" w:space="0" w:color="auto"/>
                        <w:left w:val="none" w:sz="0" w:space="0" w:color="auto"/>
                        <w:bottom w:val="none" w:sz="0" w:space="0" w:color="auto"/>
                        <w:right w:val="none" w:sz="0" w:space="0" w:color="auto"/>
                      </w:divBdr>
                    </w:div>
                    <w:div w:id="1514108102">
                      <w:marLeft w:val="0"/>
                      <w:marRight w:val="0"/>
                      <w:marTop w:val="0"/>
                      <w:marBottom w:val="0"/>
                      <w:divBdr>
                        <w:top w:val="none" w:sz="0" w:space="0" w:color="auto"/>
                        <w:left w:val="none" w:sz="0" w:space="0" w:color="auto"/>
                        <w:bottom w:val="none" w:sz="0" w:space="0" w:color="auto"/>
                        <w:right w:val="none" w:sz="0" w:space="0" w:color="auto"/>
                      </w:divBdr>
                    </w:div>
                    <w:div w:id="1875927415">
                      <w:marLeft w:val="0"/>
                      <w:marRight w:val="0"/>
                      <w:marTop w:val="0"/>
                      <w:marBottom w:val="0"/>
                      <w:divBdr>
                        <w:top w:val="none" w:sz="0" w:space="0" w:color="auto"/>
                        <w:left w:val="none" w:sz="0" w:space="0" w:color="auto"/>
                        <w:bottom w:val="none" w:sz="0" w:space="0" w:color="auto"/>
                        <w:right w:val="none" w:sz="0" w:space="0" w:color="auto"/>
                      </w:divBdr>
                    </w:div>
                    <w:div w:id="727194030">
                      <w:marLeft w:val="0"/>
                      <w:marRight w:val="0"/>
                      <w:marTop w:val="0"/>
                      <w:marBottom w:val="0"/>
                      <w:divBdr>
                        <w:top w:val="none" w:sz="0" w:space="0" w:color="auto"/>
                        <w:left w:val="none" w:sz="0" w:space="0" w:color="auto"/>
                        <w:bottom w:val="none" w:sz="0" w:space="0" w:color="auto"/>
                        <w:right w:val="none" w:sz="0" w:space="0" w:color="auto"/>
                      </w:divBdr>
                    </w:div>
                    <w:div w:id="846752711">
                      <w:marLeft w:val="0"/>
                      <w:marRight w:val="0"/>
                      <w:marTop w:val="0"/>
                      <w:marBottom w:val="0"/>
                      <w:divBdr>
                        <w:top w:val="none" w:sz="0" w:space="0" w:color="auto"/>
                        <w:left w:val="none" w:sz="0" w:space="0" w:color="auto"/>
                        <w:bottom w:val="none" w:sz="0" w:space="0" w:color="auto"/>
                        <w:right w:val="none" w:sz="0" w:space="0" w:color="auto"/>
                      </w:divBdr>
                    </w:div>
                    <w:div w:id="1587156789">
                      <w:marLeft w:val="0"/>
                      <w:marRight w:val="0"/>
                      <w:marTop w:val="0"/>
                      <w:marBottom w:val="0"/>
                      <w:divBdr>
                        <w:top w:val="none" w:sz="0" w:space="0" w:color="auto"/>
                        <w:left w:val="none" w:sz="0" w:space="0" w:color="auto"/>
                        <w:bottom w:val="none" w:sz="0" w:space="0" w:color="auto"/>
                        <w:right w:val="none" w:sz="0" w:space="0" w:color="auto"/>
                      </w:divBdr>
                    </w:div>
                    <w:div w:id="1625115267">
                      <w:marLeft w:val="0"/>
                      <w:marRight w:val="0"/>
                      <w:marTop w:val="0"/>
                      <w:marBottom w:val="0"/>
                      <w:divBdr>
                        <w:top w:val="none" w:sz="0" w:space="0" w:color="auto"/>
                        <w:left w:val="none" w:sz="0" w:space="0" w:color="auto"/>
                        <w:bottom w:val="none" w:sz="0" w:space="0" w:color="auto"/>
                        <w:right w:val="none" w:sz="0" w:space="0" w:color="auto"/>
                      </w:divBdr>
                    </w:div>
                    <w:div w:id="637415072">
                      <w:marLeft w:val="0"/>
                      <w:marRight w:val="0"/>
                      <w:marTop w:val="0"/>
                      <w:marBottom w:val="0"/>
                      <w:divBdr>
                        <w:top w:val="none" w:sz="0" w:space="0" w:color="auto"/>
                        <w:left w:val="none" w:sz="0" w:space="0" w:color="auto"/>
                        <w:bottom w:val="none" w:sz="0" w:space="0" w:color="auto"/>
                        <w:right w:val="none" w:sz="0" w:space="0" w:color="auto"/>
                      </w:divBdr>
                    </w:div>
                    <w:div w:id="1159078449">
                      <w:marLeft w:val="0"/>
                      <w:marRight w:val="0"/>
                      <w:marTop w:val="0"/>
                      <w:marBottom w:val="0"/>
                      <w:divBdr>
                        <w:top w:val="none" w:sz="0" w:space="0" w:color="auto"/>
                        <w:left w:val="none" w:sz="0" w:space="0" w:color="auto"/>
                        <w:bottom w:val="none" w:sz="0" w:space="0" w:color="auto"/>
                        <w:right w:val="none" w:sz="0" w:space="0" w:color="auto"/>
                      </w:divBdr>
                    </w:div>
                    <w:div w:id="873155061">
                      <w:marLeft w:val="0"/>
                      <w:marRight w:val="0"/>
                      <w:marTop w:val="0"/>
                      <w:marBottom w:val="0"/>
                      <w:divBdr>
                        <w:top w:val="none" w:sz="0" w:space="0" w:color="auto"/>
                        <w:left w:val="none" w:sz="0" w:space="0" w:color="auto"/>
                        <w:bottom w:val="none" w:sz="0" w:space="0" w:color="auto"/>
                        <w:right w:val="none" w:sz="0" w:space="0" w:color="auto"/>
                      </w:divBdr>
                      <w:divsChild>
                        <w:div w:id="1454862208">
                          <w:marLeft w:val="0"/>
                          <w:marRight w:val="0"/>
                          <w:marTop w:val="0"/>
                          <w:marBottom w:val="0"/>
                          <w:divBdr>
                            <w:top w:val="none" w:sz="0" w:space="0" w:color="auto"/>
                            <w:left w:val="none" w:sz="0" w:space="0" w:color="auto"/>
                            <w:bottom w:val="none" w:sz="0" w:space="0" w:color="auto"/>
                            <w:right w:val="none" w:sz="0" w:space="0" w:color="auto"/>
                          </w:divBdr>
                          <w:divsChild>
                            <w:div w:id="1075858166">
                              <w:marLeft w:val="0"/>
                              <w:marRight w:val="0"/>
                              <w:marTop w:val="0"/>
                              <w:marBottom w:val="0"/>
                              <w:divBdr>
                                <w:top w:val="none" w:sz="0" w:space="0" w:color="auto"/>
                                <w:left w:val="none" w:sz="0" w:space="0" w:color="auto"/>
                                <w:bottom w:val="none" w:sz="0" w:space="0" w:color="auto"/>
                                <w:right w:val="none" w:sz="0" w:space="0" w:color="auto"/>
                              </w:divBdr>
                            </w:div>
                            <w:div w:id="1612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6218</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ф1</cp:lastModifiedBy>
  <cp:revision>2</cp:revision>
  <dcterms:created xsi:type="dcterms:W3CDTF">2016-01-22T07:00:00Z</dcterms:created>
  <dcterms:modified xsi:type="dcterms:W3CDTF">2016-01-22T07:00:00Z</dcterms:modified>
</cp:coreProperties>
</file>